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5EB" w:rsidRDefault="006755EB" w:rsidP="006755EB">
      <w:pPr>
        <w:pStyle w:val="Default"/>
        <w:jc w:val="center"/>
        <w:rPr>
          <w:sz w:val="28"/>
          <w:szCs w:val="28"/>
        </w:rPr>
      </w:pPr>
      <w:r>
        <w:rPr>
          <w:b/>
          <w:bCs/>
          <w:sz w:val="28"/>
          <w:szCs w:val="28"/>
        </w:rPr>
        <w:t>Personality (5–7%)</w:t>
      </w:r>
    </w:p>
    <w:p w:rsidR="006755EB" w:rsidRDefault="006755EB" w:rsidP="006755EB">
      <w:pPr>
        <w:pStyle w:val="Default"/>
        <w:rPr>
          <w:sz w:val="23"/>
          <w:szCs w:val="23"/>
        </w:rPr>
      </w:pPr>
      <w:r>
        <w:rPr>
          <w:sz w:val="23"/>
          <w:szCs w:val="23"/>
        </w:rPr>
        <w:t xml:space="preserve">In this section of the course, students explore major theories of how humans develop enduring patterns of behavior and personal characteristics that influence how others relate to them. The unit also addresses research methods used to assess personality. </w:t>
      </w:r>
    </w:p>
    <w:p w:rsidR="006755EB" w:rsidRDefault="006755EB" w:rsidP="006755EB">
      <w:pPr>
        <w:pStyle w:val="Default"/>
        <w:rPr>
          <w:sz w:val="23"/>
          <w:szCs w:val="23"/>
        </w:rPr>
      </w:pPr>
      <w:r>
        <w:rPr>
          <w:sz w:val="23"/>
          <w:szCs w:val="23"/>
        </w:rPr>
        <w:t xml:space="preserve">AP students in psychology should be able to do the following: </w:t>
      </w:r>
    </w:p>
    <w:p w:rsidR="006755EB" w:rsidRDefault="006755EB" w:rsidP="006755EB">
      <w:pPr>
        <w:pStyle w:val="Default"/>
        <w:rPr>
          <w:sz w:val="23"/>
          <w:szCs w:val="23"/>
        </w:rPr>
      </w:pPr>
    </w:p>
    <w:p w:rsidR="006755EB" w:rsidRDefault="006755EB" w:rsidP="006755EB">
      <w:pPr>
        <w:pStyle w:val="Default"/>
        <w:rPr>
          <w:sz w:val="23"/>
          <w:szCs w:val="23"/>
        </w:rPr>
      </w:pPr>
      <w:r>
        <w:rPr>
          <w:sz w:val="23"/>
          <w:szCs w:val="23"/>
        </w:rPr>
        <w:t xml:space="preserve">1. Compare and contrast the major theories and approaches to explaining personality: </w:t>
      </w:r>
    </w:p>
    <w:p w:rsidR="006755EB" w:rsidRDefault="006755EB" w:rsidP="006755EB">
      <w:pPr>
        <w:pStyle w:val="Default"/>
        <w:spacing w:after="27"/>
        <w:ind w:left="720"/>
        <w:rPr>
          <w:sz w:val="23"/>
          <w:szCs w:val="23"/>
        </w:rPr>
      </w:pPr>
      <w:proofErr w:type="gramStart"/>
      <w:r>
        <w:rPr>
          <w:sz w:val="23"/>
          <w:szCs w:val="23"/>
        </w:rPr>
        <w:t>a</w:t>
      </w:r>
      <w:proofErr w:type="gramEnd"/>
      <w:r>
        <w:rPr>
          <w:sz w:val="23"/>
          <w:szCs w:val="23"/>
        </w:rPr>
        <w:t xml:space="preserve">. psychoanalytic, </w:t>
      </w:r>
    </w:p>
    <w:p w:rsidR="006755EB" w:rsidRDefault="006755EB" w:rsidP="006755EB">
      <w:pPr>
        <w:pStyle w:val="Default"/>
        <w:spacing w:after="27"/>
        <w:ind w:left="720"/>
        <w:rPr>
          <w:sz w:val="23"/>
          <w:szCs w:val="23"/>
        </w:rPr>
      </w:pPr>
      <w:proofErr w:type="gramStart"/>
      <w:r>
        <w:rPr>
          <w:sz w:val="23"/>
          <w:szCs w:val="23"/>
        </w:rPr>
        <w:t>b</w:t>
      </w:r>
      <w:proofErr w:type="gramEnd"/>
      <w:r>
        <w:rPr>
          <w:sz w:val="23"/>
          <w:szCs w:val="23"/>
        </w:rPr>
        <w:t xml:space="preserve">. humanist, </w:t>
      </w:r>
    </w:p>
    <w:p w:rsidR="006755EB" w:rsidRDefault="006755EB" w:rsidP="006755EB">
      <w:pPr>
        <w:pStyle w:val="Default"/>
        <w:spacing w:after="27"/>
        <w:ind w:left="720"/>
        <w:rPr>
          <w:sz w:val="23"/>
          <w:szCs w:val="23"/>
        </w:rPr>
      </w:pPr>
      <w:proofErr w:type="gramStart"/>
      <w:r>
        <w:rPr>
          <w:sz w:val="23"/>
          <w:szCs w:val="23"/>
        </w:rPr>
        <w:t>c</w:t>
      </w:r>
      <w:proofErr w:type="gramEnd"/>
      <w:r>
        <w:rPr>
          <w:sz w:val="23"/>
          <w:szCs w:val="23"/>
        </w:rPr>
        <w:t xml:space="preserve">. cognitive, </w:t>
      </w:r>
    </w:p>
    <w:p w:rsidR="006755EB" w:rsidRDefault="006755EB" w:rsidP="006755EB">
      <w:pPr>
        <w:pStyle w:val="Default"/>
        <w:spacing w:after="27"/>
        <w:ind w:left="720"/>
        <w:rPr>
          <w:sz w:val="23"/>
          <w:szCs w:val="23"/>
        </w:rPr>
      </w:pPr>
      <w:proofErr w:type="gramStart"/>
      <w:r>
        <w:rPr>
          <w:sz w:val="23"/>
          <w:szCs w:val="23"/>
        </w:rPr>
        <w:t>d</w:t>
      </w:r>
      <w:proofErr w:type="gramEnd"/>
      <w:r>
        <w:rPr>
          <w:sz w:val="23"/>
          <w:szCs w:val="23"/>
        </w:rPr>
        <w:t xml:space="preserve">. trait, </w:t>
      </w:r>
    </w:p>
    <w:p w:rsidR="006755EB" w:rsidRDefault="006755EB" w:rsidP="006755EB">
      <w:pPr>
        <w:pStyle w:val="Default"/>
        <w:spacing w:after="27"/>
        <w:ind w:left="720"/>
        <w:rPr>
          <w:sz w:val="23"/>
          <w:szCs w:val="23"/>
        </w:rPr>
      </w:pPr>
      <w:proofErr w:type="gramStart"/>
      <w:r>
        <w:rPr>
          <w:sz w:val="23"/>
          <w:szCs w:val="23"/>
        </w:rPr>
        <w:t>e</w:t>
      </w:r>
      <w:proofErr w:type="gramEnd"/>
      <w:r>
        <w:rPr>
          <w:sz w:val="23"/>
          <w:szCs w:val="23"/>
        </w:rPr>
        <w:t xml:space="preserve">. social learning, and </w:t>
      </w:r>
    </w:p>
    <w:p w:rsidR="006755EB" w:rsidRDefault="006755EB" w:rsidP="006755EB">
      <w:pPr>
        <w:pStyle w:val="Default"/>
        <w:ind w:left="720"/>
        <w:rPr>
          <w:sz w:val="23"/>
          <w:szCs w:val="23"/>
        </w:rPr>
      </w:pPr>
      <w:proofErr w:type="gramStart"/>
      <w:r>
        <w:rPr>
          <w:sz w:val="23"/>
          <w:szCs w:val="23"/>
        </w:rPr>
        <w:t>f</w:t>
      </w:r>
      <w:proofErr w:type="gramEnd"/>
      <w:r>
        <w:rPr>
          <w:sz w:val="23"/>
          <w:szCs w:val="23"/>
        </w:rPr>
        <w:t xml:space="preserve">. behavioral. </w:t>
      </w:r>
    </w:p>
    <w:p w:rsidR="006755EB" w:rsidRDefault="006755EB" w:rsidP="006755EB">
      <w:pPr>
        <w:pStyle w:val="Default"/>
        <w:spacing w:after="27"/>
        <w:rPr>
          <w:sz w:val="23"/>
          <w:szCs w:val="23"/>
        </w:rPr>
      </w:pPr>
      <w:r>
        <w:rPr>
          <w:sz w:val="23"/>
          <w:szCs w:val="23"/>
        </w:rPr>
        <w:t xml:space="preserve">2. Describe and compare research methods (e.g., case studies, surveys, etc.) that psychologists use to investigate personality. </w:t>
      </w:r>
    </w:p>
    <w:p w:rsidR="006755EB" w:rsidRDefault="006755EB" w:rsidP="006755EB">
      <w:pPr>
        <w:pStyle w:val="Default"/>
        <w:spacing w:after="27"/>
        <w:rPr>
          <w:sz w:val="23"/>
          <w:szCs w:val="23"/>
        </w:rPr>
      </w:pPr>
      <w:r>
        <w:rPr>
          <w:sz w:val="23"/>
          <w:szCs w:val="23"/>
        </w:rPr>
        <w:t xml:space="preserve">3. Describe frequently used assessment strategies (e.g., the Minnesota Multiphasic Personality Inventory [MMPI], the Thematic Apperception Test [TAT], etc.), and evaluate relative test quality based on reliability and validity of the instruments. </w:t>
      </w:r>
    </w:p>
    <w:p w:rsidR="006755EB" w:rsidRDefault="006755EB" w:rsidP="006755EB">
      <w:pPr>
        <w:pStyle w:val="Default"/>
        <w:spacing w:after="27"/>
        <w:rPr>
          <w:sz w:val="23"/>
          <w:szCs w:val="23"/>
        </w:rPr>
      </w:pPr>
      <w:r>
        <w:rPr>
          <w:sz w:val="23"/>
          <w:szCs w:val="23"/>
        </w:rPr>
        <w:t xml:space="preserve">4. Explain how cultural context can facilitate or constrain personality development, especially as it relates to self-concept (e.g., collectivistic versus individualistic cultures). </w:t>
      </w:r>
    </w:p>
    <w:p w:rsidR="006755EB" w:rsidRDefault="006755EB" w:rsidP="006755EB">
      <w:pPr>
        <w:pStyle w:val="Default"/>
        <w:rPr>
          <w:sz w:val="23"/>
          <w:szCs w:val="23"/>
        </w:rPr>
      </w:pPr>
      <w:r>
        <w:rPr>
          <w:sz w:val="23"/>
          <w:szCs w:val="23"/>
        </w:rPr>
        <w:t xml:space="preserve">5. Identify key contributors to personality theory (What, When, Where and Why) </w:t>
      </w:r>
    </w:p>
    <w:p w:rsidR="006755EB" w:rsidRDefault="006755EB" w:rsidP="006755EB">
      <w:pPr>
        <w:pStyle w:val="Default"/>
        <w:spacing w:after="27"/>
        <w:ind w:left="720"/>
        <w:rPr>
          <w:sz w:val="23"/>
          <w:szCs w:val="23"/>
        </w:rPr>
      </w:pPr>
      <w:proofErr w:type="gramStart"/>
      <w:r>
        <w:rPr>
          <w:sz w:val="23"/>
          <w:szCs w:val="23"/>
        </w:rPr>
        <w:t>a</w:t>
      </w:r>
      <w:proofErr w:type="gramEnd"/>
      <w:r>
        <w:rPr>
          <w:sz w:val="23"/>
          <w:szCs w:val="23"/>
        </w:rPr>
        <w:t xml:space="preserve">. Alfred Adler, </w:t>
      </w:r>
    </w:p>
    <w:p w:rsidR="006755EB" w:rsidRDefault="006755EB" w:rsidP="006755EB">
      <w:pPr>
        <w:pStyle w:val="Default"/>
        <w:spacing w:after="27"/>
        <w:ind w:left="720"/>
        <w:rPr>
          <w:sz w:val="23"/>
          <w:szCs w:val="23"/>
        </w:rPr>
      </w:pPr>
      <w:proofErr w:type="gramStart"/>
      <w:r>
        <w:rPr>
          <w:sz w:val="23"/>
          <w:szCs w:val="23"/>
        </w:rPr>
        <w:t>b</w:t>
      </w:r>
      <w:proofErr w:type="gramEnd"/>
      <w:r>
        <w:rPr>
          <w:sz w:val="23"/>
          <w:szCs w:val="23"/>
        </w:rPr>
        <w:t xml:space="preserve">. Albert Bandura, </w:t>
      </w:r>
    </w:p>
    <w:p w:rsidR="006755EB" w:rsidRDefault="006755EB" w:rsidP="006755EB">
      <w:pPr>
        <w:pStyle w:val="Default"/>
        <w:spacing w:after="27"/>
        <w:ind w:left="720"/>
        <w:rPr>
          <w:sz w:val="23"/>
          <w:szCs w:val="23"/>
        </w:rPr>
      </w:pPr>
      <w:proofErr w:type="gramStart"/>
      <w:r>
        <w:rPr>
          <w:sz w:val="23"/>
          <w:szCs w:val="23"/>
        </w:rPr>
        <w:t>c</w:t>
      </w:r>
      <w:proofErr w:type="gramEnd"/>
      <w:r>
        <w:rPr>
          <w:sz w:val="23"/>
          <w:szCs w:val="23"/>
        </w:rPr>
        <w:t xml:space="preserve">. Paul Costa and Robert McCrae, </w:t>
      </w:r>
    </w:p>
    <w:p w:rsidR="006755EB" w:rsidRDefault="006755EB" w:rsidP="006755EB">
      <w:pPr>
        <w:pStyle w:val="Default"/>
        <w:spacing w:after="27"/>
        <w:ind w:left="720"/>
        <w:rPr>
          <w:sz w:val="23"/>
          <w:szCs w:val="23"/>
        </w:rPr>
      </w:pPr>
      <w:proofErr w:type="gramStart"/>
      <w:r>
        <w:rPr>
          <w:sz w:val="23"/>
          <w:szCs w:val="23"/>
        </w:rPr>
        <w:t>d</w:t>
      </w:r>
      <w:proofErr w:type="gramEnd"/>
      <w:r>
        <w:rPr>
          <w:sz w:val="23"/>
          <w:szCs w:val="23"/>
        </w:rPr>
        <w:t xml:space="preserve">. Sigmund Freud, </w:t>
      </w:r>
    </w:p>
    <w:p w:rsidR="006755EB" w:rsidRDefault="006755EB" w:rsidP="006755EB">
      <w:pPr>
        <w:pStyle w:val="Default"/>
        <w:spacing w:after="27"/>
        <w:ind w:left="720"/>
        <w:rPr>
          <w:sz w:val="23"/>
          <w:szCs w:val="23"/>
        </w:rPr>
      </w:pPr>
      <w:proofErr w:type="gramStart"/>
      <w:r>
        <w:rPr>
          <w:sz w:val="23"/>
          <w:szCs w:val="23"/>
        </w:rPr>
        <w:t>e</w:t>
      </w:r>
      <w:proofErr w:type="gramEnd"/>
      <w:r>
        <w:rPr>
          <w:sz w:val="23"/>
          <w:szCs w:val="23"/>
        </w:rPr>
        <w:t xml:space="preserve">. Carl Jung, </w:t>
      </w:r>
    </w:p>
    <w:p w:rsidR="006755EB" w:rsidRDefault="006755EB" w:rsidP="006755EB">
      <w:pPr>
        <w:pStyle w:val="Default"/>
        <w:spacing w:after="27"/>
        <w:ind w:left="720"/>
        <w:rPr>
          <w:sz w:val="23"/>
          <w:szCs w:val="23"/>
        </w:rPr>
      </w:pPr>
      <w:proofErr w:type="gramStart"/>
      <w:r>
        <w:rPr>
          <w:sz w:val="23"/>
          <w:szCs w:val="23"/>
        </w:rPr>
        <w:t>f</w:t>
      </w:r>
      <w:proofErr w:type="gramEnd"/>
      <w:r>
        <w:rPr>
          <w:sz w:val="23"/>
          <w:szCs w:val="23"/>
        </w:rPr>
        <w:t xml:space="preserve">. Abraham Maslow, </w:t>
      </w:r>
    </w:p>
    <w:p w:rsidR="006755EB" w:rsidRDefault="006755EB" w:rsidP="006755EB">
      <w:pPr>
        <w:pStyle w:val="Default"/>
        <w:ind w:left="720"/>
        <w:rPr>
          <w:sz w:val="23"/>
          <w:szCs w:val="23"/>
        </w:rPr>
      </w:pPr>
      <w:proofErr w:type="gramStart"/>
      <w:r>
        <w:rPr>
          <w:sz w:val="23"/>
          <w:szCs w:val="23"/>
        </w:rPr>
        <w:t>g</w:t>
      </w:r>
      <w:proofErr w:type="gramEnd"/>
      <w:r>
        <w:rPr>
          <w:sz w:val="23"/>
          <w:szCs w:val="23"/>
        </w:rPr>
        <w:t xml:space="preserve">. Carl Rogers. </w:t>
      </w:r>
    </w:p>
    <w:p w:rsidR="006755EB" w:rsidRDefault="006755EB" w:rsidP="006755EB"/>
    <w:tbl>
      <w:tblPr>
        <w:tblStyle w:val="TableGrid"/>
        <w:tblW w:w="0" w:type="auto"/>
        <w:tblLook w:val="04A0" w:firstRow="1" w:lastRow="0" w:firstColumn="1" w:lastColumn="0" w:noHBand="0" w:noVBand="1"/>
      </w:tblPr>
      <w:tblGrid>
        <w:gridCol w:w="2988"/>
        <w:gridCol w:w="6588"/>
      </w:tblGrid>
      <w:tr w:rsidR="006755EB" w:rsidTr="00A4565E">
        <w:trPr>
          <w:trHeight w:val="576"/>
        </w:trPr>
        <w:tc>
          <w:tcPr>
            <w:tcW w:w="2988" w:type="dxa"/>
          </w:tcPr>
          <w:p w:rsidR="006755EB" w:rsidRPr="00907BCD" w:rsidRDefault="006755EB" w:rsidP="00A4565E">
            <w:pPr>
              <w:jc w:val="center"/>
              <w:rPr>
                <w:b/>
                <w:sz w:val="28"/>
                <w:szCs w:val="28"/>
              </w:rPr>
            </w:pPr>
            <w:r>
              <w:rPr>
                <w:b/>
                <w:sz w:val="28"/>
                <w:szCs w:val="28"/>
              </w:rPr>
              <w:t>Term</w:t>
            </w:r>
          </w:p>
        </w:tc>
        <w:tc>
          <w:tcPr>
            <w:tcW w:w="6588" w:type="dxa"/>
          </w:tcPr>
          <w:p w:rsidR="006755EB" w:rsidRPr="00907BCD" w:rsidRDefault="006755EB" w:rsidP="00A4565E">
            <w:pPr>
              <w:jc w:val="center"/>
              <w:rPr>
                <w:b/>
                <w:sz w:val="28"/>
                <w:szCs w:val="28"/>
              </w:rPr>
            </w:pPr>
            <w:r>
              <w:rPr>
                <w:b/>
                <w:sz w:val="28"/>
                <w:szCs w:val="28"/>
              </w:rPr>
              <w:t>Definition</w:t>
            </w:r>
          </w:p>
        </w:tc>
      </w:tr>
      <w:tr w:rsidR="006755EB" w:rsidTr="00A4565E">
        <w:trPr>
          <w:trHeight w:val="576"/>
        </w:trPr>
        <w:tc>
          <w:tcPr>
            <w:tcW w:w="2988" w:type="dxa"/>
          </w:tcPr>
          <w:p w:rsidR="006755EB" w:rsidRDefault="006755EB" w:rsidP="00A4565E">
            <w:r>
              <w:t>The Id</w:t>
            </w:r>
          </w:p>
        </w:tc>
        <w:tc>
          <w:tcPr>
            <w:tcW w:w="6588" w:type="dxa"/>
          </w:tcPr>
          <w:p w:rsidR="006755EB" w:rsidRDefault="006755EB" w:rsidP="00A4565E"/>
        </w:tc>
      </w:tr>
      <w:tr w:rsidR="006755EB" w:rsidTr="00A4565E">
        <w:trPr>
          <w:trHeight w:val="576"/>
        </w:trPr>
        <w:tc>
          <w:tcPr>
            <w:tcW w:w="2988" w:type="dxa"/>
          </w:tcPr>
          <w:p w:rsidR="006755EB" w:rsidRDefault="006755EB" w:rsidP="00A4565E">
            <w:r>
              <w:t>The Superego</w:t>
            </w:r>
          </w:p>
        </w:tc>
        <w:tc>
          <w:tcPr>
            <w:tcW w:w="6588" w:type="dxa"/>
          </w:tcPr>
          <w:p w:rsidR="006755EB" w:rsidRDefault="006755EB" w:rsidP="00A4565E"/>
        </w:tc>
      </w:tr>
      <w:tr w:rsidR="006755EB" w:rsidTr="00A4565E">
        <w:trPr>
          <w:trHeight w:val="576"/>
        </w:trPr>
        <w:tc>
          <w:tcPr>
            <w:tcW w:w="2988" w:type="dxa"/>
          </w:tcPr>
          <w:p w:rsidR="006755EB" w:rsidRDefault="006755EB" w:rsidP="00A4565E">
            <w:r>
              <w:t>The Ego</w:t>
            </w:r>
          </w:p>
        </w:tc>
        <w:tc>
          <w:tcPr>
            <w:tcW w:w="6588" w:type="dxa"/>
          </w:tcPr>
          <w:p w:rsidR="006755EB" w:rsidRDefault="006755EB" w:rsidP="00A4565E"/>
        </w:tc>
      </w:tr>
      <w:tr w:rsidR="006755EB" w:rsidTr="00A4565E">
        <w:trPr>
          <w:trHeight w:val="576"/>
        </w:trPr>
        <w:tc>
          <w:tcPr>
            <w:tcW w:w="2988" w:type="dxa"/>
          </w:tcPr>
          <w:p w:rsidR="006755EB" w:rsidRDefault="006755EB" w:rsidP="00A4565E">
            <w:r>
              <w:t>Defense Mechanisms</w:t>
            </w:r>
          </w:p>
        </w:tc>
        <w:tc>
          <w:tcPr>
            <w:tcW w:w="6588" w:type="dxa"/>
          </w:tcPr>
          <w:p w:rsidR="006755EB" w:rsidRDefault="006755EB" w:rsidP="00A4565E"/>
        </w:tc>
      </w:tr>
      <w:tr w:rsidR="006755EB" w:rsidTr="00A4565E">
        <w:trPr>
          <w:trHeight w:val="576"/>
        </w:trPr>
        <w:tc>
          <w:tcPr>
            <w:tcW w:w="2988" w:type="dxa"/>
          </w:tcPr>
          <w:p w:rsidR="006755EB" w:rsidRDefault="006755EB" w:rsidP="00A4565E">
            <w:r>
              <w:t>Repression</w:t>
            </w:r>
          </w:p>
        </w:tc>
        <w:tc>
          <w:tcPr>
            <w:tcW w:w="6588" w:type="dxa"/>
          </w:tcPr>
          <w:p w:rsidR="006755EB" w:rsidRDefault="006755EB" w:rsidP="00A4565E"/>
        </w:tc>
      </w:tr>
      <w:tr w:rsidR="006755EB" w:rsidTr="00A4565E">
        <w:trPr>
          <w:trHeight w:val="576"/>
        </w:trPr>
        <w:tc>
          <w:tcPr>
            <w:tcW w:w="2988" w:type="dxa"/>
          </w:tcPr>
          <w:p w:rsidR="006755EB" w:rsidRDefault="006755EB" w:rsidP="00A4565E">
            <w:r>
              <w:t>Self-Efficacy</w:t>
            </w:r>
          </w:p>
        </w:tc>
        <w:tc>
          <w:tcPr>
            <w:tcW w:w="6588" w:type="dxa"/>
          </w:tcPr>
          <w:p w:rsidR="006755EB" w:rsidRDefault="006755EB" w:rsidP="00A4565E"/>
        </w:tc>
      </w:tr>
      <w:tr w:rsidR="006755EB" w:rsidTr="00A4565E">
        <w:trPr>
          <w:trHeight w:val="576"/>
        </w:trPr>
        <w:tc>
          <w:tcPr>
            <w:tcW w:w="2988" w:type="dxa"/>
          </w:tcPr>
          <w:p w:rsidR="006755EB" w:rsidRDefault="006755EB" w:rsidP="00A4565E">
            <w:r>
              <w:t>Locus of Control</w:t>
            </w:r>
          </w:p>
        </w:tc>
        <w:tc>
          <w:tcPr>
            <w:tcW w:w="6588" w:type="dxa"/>
          </w:tcPr>
          <w:p w:rsidR="006755EB" w:rsidRDefault="006755EB" w:rsidP="00A4565E"/>
        </w:tc>
      </w:tr>
      <w:tr w:rsidR="006755EB" w:rsidTr="00A4565E">
        <w:trPr>
          <w:trHeight w:val="576"/>
        </w:trPr>
        <w:tc>
          <w:tcPr>
            <w:tcW w:w="2988" w:type="dxa"/>
          </w:tcPr>
          <w:p w:rsidR="006755EB" w:rsidRDefault="006755EB" w:rsidP="00A4565E">
            <w:r>
              <w:lastRenderedPageBreak/>
              <w:t>Five-Factor Model</w:t>
            </w:r>
          </w:p>
        </w:tc>
        <w:tc>
          <w:tcPr>
            <w:tcW w:w="6588" w:type="dxa"/>
          </w:tcPr>
          <w:p w:rsidR="006755EB" w:rsidRDefault="006755EB" w:rsidP="00A4565E"/>
        </w:tc>
      </w:tr>
    </w:tbl>
    <w:p w:rsidR="006755EB" w:rsidRDefault="006755EB" w:rsidP="006755EB"/>
    <w:p w:rsidR="006755EB" w:rsidRDefault="006755EB" w:rsidP="006755EB"/>
    <w:tbl>
      <w:tblPr>
        <w:tblStyle w:val="TableGrid"/>
        <w:tblW w:w="0" w:type="auto"/>
        <w:tblLook w:val="04A0" w:firstRow="1" w:lastRow="0" w:firstColumn="1" w:lastColumn="0" w:noHBand="0" w:noVBand="1"/>
      </w:tblPr>
      <w:tblGrid>
        <w:gridCol w:w="3192"/>
        <w:gridCol w:w="3192"/>
        <w:gridCol w:w="3192"/>
      </w:tblGrid>
      <w:tr w:rsidR="006755EB" w:rsidTr="00A4565E">
        <w:trPr>
          <w:trHeight w:val="576"/>
        </w:trPr>
        <w:tc>
          <w:tcPr>
            <w:tcW w:w="3192" w:type="dxa"/>
          </w:tcPr>
          <w:p w:rsidR="006755EB" w:rsidRPr="00907BCD" w:rsidRDefault="006755EB" w:rsidP="00A4565E">
            <w:pPr>
              <w:rPr>
                <w:b/>
                <w:sz w:val="28"/>
                <w:szCs w:val="28"/>
              </w:rPr>
            </w:pPr>
            <w:r>
              <w:rPr>
                <w:b/>
                <w:sz w:val="28"/>
                <w:szCs w:val="28"/>
              </w:rPr>
              <w:t>Figure</w:t>
            </w:r>
          </w:p>
        </w:tc>
        <w:tc>
          <w:tcPr>
            <w:tcW w:w="3192" w:type="dxa"/>
          </w:tcPr>
          <w:p w:rsidR="006755EB" w:rsidRPr="00907BCD" w:rsidRDefault="006755EB" w:rsidP="00A4565E">
            <w:pPr>
              <w:rPr>
                <w:b/>
                <w:sz w:val="28"/>
                <w:szCs w:val="28"/>
              </w:rPr>
            </w:pPr>
            <w:r w:rsidRPr="00907BCD">
              <w:rPr>
                <w:b/>
                <w:sz w:val="28"/>
                <w:szCs w:val="28"/>
              </w:rPr>
              <w:t>Perspective</w:t>
            </w:r>
          </w:p>
        </w:tc>
        <w:tc>
          <w:tcPr>
            <w:tcW w:w="3192" w:type="dxa"/>
          </w:tcPr>
          <w:p w:rsidR="006755EB" w:rsidRPr="00907BCD" w:rsidRDefault="006755EB" w:rsidP="00A4565E">
            <w:pPr>
              <w:rPr>
                <w:b/>
                <w:sz w:val="28"/>
                <w:szCs w:val="28"/>
              </w:rPr>
            </w:pPr>
            <w:r w:rsidRPr="00907BCD">
              <w:rPr>
                <w:b/>
                <w:sz w:val="28"/>
                <w:szCs w:val="28"/>
              </w:rPr>
              <w:t>Research/Theory</w:t>
            </w:r>
          </w:p>
        </w:tc>
      </w:tr>
      <w:tr w:rsidR="006755EB" w:rsidTr="00A4565E">
        <w:trPr>
          <w:trHeight w:val="576"/>
        </w:trPr>
        <w:tc>
          <w:tcPr>
            <w:tcW w:w="3192" w:type="dxa"/>
          </w:tcPr>
          <w:p w:rsidR="006755EB" w:rsidRDefault="006755EB" w:rsidP="00A4565E">
            <w:r>
              <w:t>Alfred Adler</w:t>
            </w:r>
          </w:p>
        </w:tc>
        <w:tc>
          <w:tcPr>
            <w:tcW w:w="3192" w:type="dxa"/>
          </w:tcPr>
          <w:p w:rsidR="006755EB" w:rsidRDefault="006755EB" w:rsidP="00A4565E"/>
        </w:tc>
        <w:tc>
          <w:tcPr>
            <w:tcW w:w="3192" w:type="dxa"/>
          </w:tcPr>
          <w:p w:rsidR="006755EB" w:rsidRDefault="006755EB" w:rsidP="00A4565E"/>
        </w:tc>
      </w:tr>
      <w:tr w:rsidR="006755EB" w:rsidTr="00A4565E">
        <w:trPr>
          <w:trHeight w:val="576"/>
        </w:trPr>
        <w:tc>
          <w:tcPr>
            <w:tcW w:w="3192" w:type="dxa"/>
          </w:tcPr>
          <w:p w:rsidR="006755EB" w:rsidRDefault="006755EB" w:rsidP="00A4565E">
            <w:r>
              <w:t>Carl Jung</w:t>
            </w:r>
          </w:p>
        </w:tc>
        <w:tc>
          <w:tcPr>
            <w:tcW w:w="3192" w:type="dxa"/>
          </w:tcPr>
          <w:p w:rsidR="006755EB" w:rsidRDefault="006755EB" w:rsidP="00A4565E"/>
        </w:tc>
        <w:tc>
          <w:tcPr>
            <w:tcW w:w="3192" w:type="dxa"/>
          </w:tcPr>
          <w:p w:rsidR="006755EB" w:rsidRDefault="006755EB" w:rsidP="00A4565E"/>
        </w:tc>
      </w:tr>
      <w:tr w:rsidR="006755EB" w:rsidTr="00A4565E">
        <w:trPr>
          <w:trHeight w:val="576"/>
        </w:trPr>
        <w:tc>
          <w:tcPr>
            <w:tcW w:w="3192" w:type="dxa"/>
          </w:tcPr>
          <w:p w:rsidR="006755EB" w:rsidRDefault="006755EB" w:rsidP="00A4565E">
            <w:r>
              <w:t>Carl Rogers</w:t>
            </w:r>
          </w:p>
        </w:tc>
        <w:tc>
          <w:tcPr>
            <w:tcW w:w="3192" w:type="dxa"/>
          </w:tcPr>
          <w:p w:rsidR="006755EB" w:rsidRDefault="006755EB" w:rsidP="00A4565E"/>
        </w:tc>
        <w:tc>
          <w:tcPr>
            <w:tcW w:w="3192" w:type="dxa"/>
          </w:tcPr>
          <w:p w:rsidR="006755EB" w:rsidRDefault="006755EB" w:rsidP="00A4565E"/>
        </w:tc>
      </w:tr>
      <w:tr w:rsidR="006755EB" w:rsidTr="00A4565E">
        <w:trPr>
          <w:trHeight w:val="576"/>
        </w:trPr>
        <w:tc>
          <w:tcPr>
            <w:tcW w:w="3192" w:type="dxa"/>
          </w:tcPr>
          <w:p w:rsidR="006755EB" w:rsidRDefault="006755EB" w:rsidP="00A4565E">
            <w:r>
              <w:t>Paul Costa and Robert McCrae</w:t>
            </w:r>
          </w:p>
        </w:tc>
        <w:tc>
          <w:tcPr>
            <w:tcW w:w="3192" w:type="dxa"/>
          </w:tcPr>
          <w:p w:rsidR="006755EB" w:rsidRDefault="006755EB" w:rsidP="00A4565E"/>
        </w:tc>
        <w:tc>
          <w:tcPr>
            <w:tcW w:w="3192" w:type="dxa"/>
          </w:tcPr>
          <w:p w:rsidR="006755EB" w:rsidRDefault="006755EB" w:rsidP="00A4565E"/>
        </w:tc>
      </w:tr>
    </w:tbl>
    <w:p w:rsidR="006755EB" w:rsidRDefault="006755EB" w:rsidP="006755EB">
      <w:bookmarkStart w:id="0" w:name="_GoBack"/>
      <w:bookmarkEnd w:id="0"/>
      <w:r>
        <w:br w:type="page"/>
      </w:r>
    </w:p>
    <w:p w:rsidR="006D1362" w:rsidRDefault="006D1362"/>
    <w:sectPr w:rsidR="006D1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5EB"/>
    <w:rsid w:val="006755EB"/>
    <w:rsid w:val="006D1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55EB"/>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675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55EB"/>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675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1</cp:revision>
  <dcterms:created xsi:type="dcterms:W3CDTF">2015-04-18T04:21:00Z</dcterms:created>
  <dcterms:modified xsi:type="dcterms:W3CDTF">2015-04-18T04:22:00Z</dcterms:modified>
</cp:coreProperties>
</file>